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6E1A" w14:textId="7D6CA672" w:rsidR="00351FF5" w:rsidRDefault="00351FF5" w:rsidP="00351FF5">
      <w:pPr>
        <w:rPr>
          <w:szCs w:val="22"/>
        </w:rPr>
      </w:pPr>
      <w:r>
        <w:rPr>
          <w:noProof/>
          <w:szCs w:val="22"/>
        </w:rPr>
        <w:drawing>
          <wp:inline distT="0" distB="0" distL="0" distR="0" wp14:anchorId="2BB1B668" wp14:editId="776BCEDB">
            <wp:extent cx="774700" cy="30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F13C8" w14:textId="08B2BC8D" w:rsidR="00351FF5" w:rsidRDefault="00652624" w:rsidP="00014683">
      <w:pPr>
        <w:pStyle w:val="Nadpis1"/>
        <w:rPr>
          <w:b w:val="0"/>
        </w:rPr>
      </w:pPr>
      <w:r w:rsidRPr="00652624">
        <w:rPr>
          <w:b w:val="0"/>
        </w:rPr>
        <w:t>K</w:t>
      </w:r>
      <w:r w:rsidR="00945BEC">
        <w:rPr>
          <w:b w:val="0"/>
        </w:rPr>
        <w:t xml:space="preserve">omerční banka startuje Novou éru bankovnictví </w:t>
      </w:r>
    </w:p>
    <w:p w14:paraId="4E7A4693" w14:textId="77777777" w:rsidR="00351FF5" w:rsidRPr="00351FF5" w:rsidRDefault="00351FF5" w:rsidP="00351FF5">
      <w:pPr>
        <w:rPr>
          <w:szCs w:val="22"/>
        </w:rPr>
      </w:pPr>
    </w:p>
    <w:p w14:paraId="42D6A3AF" w14:textId="77E625F2" w:rsidR="00351FF5" w:rsidRPr="00945BEC" w:rsidRDefault="00351FF5" w:rsidP="00351FF5">
      <w:pPr>
        <w:rPr>
          <w:rFonts w:ascii="Inter Semi Bold" w:hAnsi="Inter Semi Bold"/>
          <w:b/>
          <w:bCs/>
          <w:szCs w:val="22"/>
        </w:rPr>
      </w:pPr>
      <w:r w:rsidRPr="00351FF5">
        <w:rPr>
          <w:rFonts w:ascii="Inter Semi Bold" w:hAnsi="Inter Semi Bold"/>
          <w:b/>
          <w:bCs/>
          <w:szCs w:val="22"/>
        </w:rPr>
        <w:t>Praha, 1</w:t>
      </w:r>
      <w:r w:rsidR="00945BEC">
        <w:rPr>
          <w:rFonts w:ascii="Inter Semi Bold" w:hAnsi="Inter Semi Bold"/>
          <w:b/>
          <w:bCs/>
          <w:szCs w:val="22"/>
        </w:rPr>
        <w:t>8</w:t>
      </w:r>
      <w:r w:rsidRPr="00351FF5">
        <w:rPr>
          <w:rFonts w:ascii="Inter Semi Bold" w:hAnsi="Inter Semi Bold"/>
          <w:b/>
          <w:bCs/>
          <w:szCs w:val="22"/>
        </w:rPr>
        <w:t xml:space="preserve">. </w:t>
      </w:r>
      <w:r w:rsidR="00945BEC">
        <w:rPr>
          <w:rFonts w:ascii="Inter Semi Bold" w:hAnsi="Inter Semi Bold"/>
          <w:b/>
          <w:bCs/>
          <w:szCs w:val="22"/>
        </w:rPr>
        <w:t>dubna</w:t>
      </w:r>
      <w:r w:rsidRPr="00351FF5">
        <w:rPr>
          <w:rFonts w:ascii="Inter Semi Bold" w:hAnsi="Inter Semi Bold"/>
          <w:b/>
          <w:bCs/>
          <w:szCs w:val="22"/>
        </w:rPr>
        <w:t xml:space="preserve"> 202</w:t>
      </w:r>
      <w:r w:rsidR="00945BEC">
        <w:rPr>
          <w:rFonts w:ascii="Inter Semi Bold" w:hAnsi="Inter Semi Bold"/>
          <w:b/>
          <w:bCs/>
          <w:szCs w:val="22"/>
        </w:rPr>
        <w:t>3</w:t>
      </w:r>
    </w:p>
    <w:p w14:paraId="0036C6FB" w14:textId="77777777" w:rsidR="00351FF5" w:rsidRPr="00351FF5" w:rsidRDefault="00351FF5" w:rsidP="00351FF5">
      <w:pPr>
        <w:rPr>
          <w:szCs w:val="22"/>
        </w:rPr>
      </w:pPr>
    </w:p>
    <w:p w14:paraId="6BB29D3E" w14:textId="6FDAD2E2" w:rsidR="00945BEC" w:rsidRPr="00D66B28" w:rsidRDefault="00945BEC" w:rsidP="00945BEC">
      <w:pPr>
        <w:jc w:val="both"/>
        <w:rPr>
          <w:b/>
          <w:bCs/>
        </w:rPr>
      </w:pPr>
      <w:r w:rsidRPr="00D66B28">
        <w:rPr>
          <w:b/>
          <w:bCs/>
        </w:rPr>
        <w:t>Komerční banka otevírá novou kapitolu své historie</w:t>
      </w:r>
      <w:r>
        <w:rPr>
          <w:b/>
          <w:bCs/>
        </w:rPr>
        <w:t xml:space="preserve"> – startuje nov</w:t>
      </w:r>
      <w:r w:rsidR="00CC13E7">
        <w:rPr>
          <w:b/>
          <w:bCs/>
        </w:rPr>
        <w:t>ou</w:t>
      </w:r>
      <w:r>
        <w:rPr>
          <w:b/>
          <w:bCs/>
        </w:rPr>
        <w:t xml:space="preserve"> ér</w:t>
      </w:r>
      <w:r w:rsidR="00CC13E7">
        <w:rPr>
          <w:b/>
          <w:bCs/>
        </w:rPr>
        <w:t>u</w:t>
      </w:r>
      <w:r>
        <w:rPr>
          <w:b/>
          <w:bCs/>
        </w:rPr>
        <w:t xml:space="preserve"> českého bankovnictví</w:t>
      </w:r>
      <w:r w:rsidRPr="00D66B28">
        <w:rPr>
          <w:b/>
          <w:bCs/>
        </w:rPr>
        <w:t>. Vývoj nového bankovního core systému v uplynulých třech letech přinesl mnoho změn: nov</w:t>
      </w:r>
      <w:r w:rsidR="00CC13E7">
        <w:rPr>
          <w:b/>
          <w:bCs/>
        </w:rPr>
        <w:t>ou</w:t>
      </w:r>
      <w:r w:rsidRPr="00D66B28">
        <w:rPr>
          <w:b/>
          <w:bCs/>
        </w:rPr>
        <w:t xml:space="preserve"> mobilní aplika</w:t>
      </w:r>
      <w:r w:rsidR="00CC13E7">
        <w:rPr>
          <w:b/>
          <w:bCs/>
        </w:rPr>
        <w:t>ci</w:t>
      </w:r>
      <w:r w:rsidRPr="00D66B28">
        <w:rPr>
          <w:b/>
          <w:bCs/>
        </w:rPr>
        <w:t xml:space="preserve"> KB+, nové internetové bankovnictví, nové služby pro klienty nabízející ještě lepší klientský zážitek</w:t>
      </w:r>
      <w:r>
        <w:rPr>
          <w:b/>
          <w:bCs/>
        </w:rPr>
        <w:t xml:space="preserve"> a mnoho dalšího</w:t>
      </w:r>
      <w:r w:rsidRPr="00D66B28">
        <w:rPr>
          <w:b/>
          <w:bCs/>
        </w:rPr>
        <w:t xml:space="preserve">. </w:t>
      </w:r>
      <w:r>
        <w:rPr>
          <w:b/>
          <w:bCs/>
        </w:rPr>
        <w:t xml:space="preserve">Převod </w:t>
      </w:r>
      <w:r w:rsidRPr="00D66B28">
        <w:rPr>
          <w:b/>
          <w:bCs/>
        </w:rPr>
        <w:t xml:space="preserve">klientů (retailových a korporátních) do zcela nové </w:t>
      </w:r>
      <w:r>
        <w:rPr>
          <w:b/>
          <w:bCs/>
        </w:rPr>
        <w:t>propozice</w:t>
      </w:r>
      <w:r w:rsidRPr="00D66B28">
        <w:rPr>
          <w:b/>
          <w:bCs/>
        </w:rPr>
        <w:t xml:space="preserve"> banky bude probíhat postupně do roku 2025.</w:t>
      </w:r>
    </w:p>
    <w:p w14:paraId="49DC6EAD" w14:textId="77777777" w:rsidR="00014683" w:rsidRPr="00945BEC" w:rsidRDefault="00014683" w:rsidP="00014683"/>
    <w:p w14:paraId="04C6CC7A" w14:textId="2150C6FB" w:rsidR="00945BEC" w:rsidRDefault="00945BEC" w:rsidP="00945BEC">
      <w:pPr>
        <w:jc w:val="both"/>
      </w:pPr>
      <w:r w:rsidRPr="00711DD4">
        <w:rPr>
          <w:i/>
          <w:iCs/>
        </w:rPr>
        <w:t xml:space="preserve">„Nová éra </w:t>
      </w:r>
      <w:r w:rsidR="005E176C">
        <w:rPr>
          <w:i/>
          <w:iCs/>
        </w:rPr>
        <w:t xml:space="preserve">bankovnictví </w:t>
      </w:r>
      <w:r w:rsidRPr="00711DD4">
        <w:rPr>
          <w:i/>
          <w:iCs/>
        </w:rPr>
        <w:t xml:space="preserve">Komerční banky přináší </w:t>
      </w:r>
      <w:r w:rsidRPr="00D66B28">
        <w:rPr>
          <w:i/>
          <w:iCs/>
        </w:rPr>
        <w:t xml:space="preserve">do České republiky </w:t>
      </w:r>
      <w:r w:rsidR="005E176C">
        <w:rPr>
          <w:i/>
          <w:iCs/>
        </w:rPr>
        <w:t>unikátní</w:t>
      </w:r>
      <w:r w:rsidR="00E51958">
        <w:rPr>
          <w:i/>
          <w:iCs/>
        </w:rPr>
        <w:t xml:space="preserve"> klientskou propozici, maximální zjednodušení jak na straně klientské obsluhy, tak na straně fungování banky a v neposlední řadě unikátní</w:t>
      </w:r>
      <w:r w:rsidR="005E176C">
        <w:rPr>
          <w:i/>
          <w:iCs/>
        </w:rPr>
        <w:t xml:space="preserve"> přístup k</w:t>
      </w:r>
      <w:r w:rsidR="00E51958">
        <w:rPr>
          <w:i/>
          <w:iCs/>
        </w:rPr>
        <w:t> </w:t>
      </w:r>
      <w:r w:rsidR="00557C4C">
        <w:rPr>
          <w:i/>
          <w:iCs/>
        </w:rPr>
        <w:t>transformaci</w:t>
      </w:r>
      <w:r w:rsidR="00E51958">
        <w:rPr>
          <w:i/>
          <w:iCs/>
        </w:rPr>
        <w:t xml:space="preserve"> firmy</w:t>
      </w:r>
      <w:r w:rsidRPr="00711DD4">
        <w:rPr>
          <w:i/>
          <w:iCs/>
        </w:rPr>
        <w:t xml:space="preserve">. </w:t>
      </w:r>
      <w:r w:rsidR="00CC13E7">
        <w:rPr>
          <w:i/>
          <w:iCs/>
        </w:rPr>
        <w:t xml:space="preserve">Dnes představujeme </w:t>
      </w:r>
      <w:r w:rsidRPr="00711DD4">
        <w:rPr>
          <w:i/>
          <w:iCs/>
        </w:rPr>
        <w:t>nov</w:t>
      </w:r>
      <w:r w:rsidR="00CC13E7">
        <w:rPr>
          <w:i/>
          <w:iCs/>
        </w:rPr>
        <w:t>ou</w:t>
      </w:r>
      <w:r w:rsidRPr="00711DD4">
        <w:rPr>
          <w:i/>
          <w:iCs/>
        </w:rPr>
        <w:t xml:space="preserve"> bank</w:t>
      </w:r>
      <w:r w:rsidR="00CC13E7">
        <w:rPr>
          <w:i/>
          <w:iCs/>
        </w:rPr>
        <w:t>u</w:t>
      </w:r>
      <w:r w:rsidRPr="00711DD4">
        <w:rPr>
          <w:i/>
          <w:iCs/>
        </w:rPr>
        <w:t xml:space="preserve"> </w:t>
      </w:r>
      <w:r w:rsidR="00CC13E7">
        <w:rPr>
          <w:i/>
          <w:iCs/>
        </w:rPr>
        <w:t xml:space="preserve">s klientem v centru veškerého dění a </w:t>
      </w:r>
      <w:r>
        <w:rPr>
          <w:i/>
          <w:iCs/>
        </w:rPr>
        <w:t>postaven</w:t>
      </w:r>
      <w:r w:rsidR="00CC13E7">
        <w:rPr>
          <w:i/>
          <w:iCs/>
        </w:rPr>
        <w:t>ou</w:t>
      </w:r>
      <w:r>
        <w:rPr>
          <w:i/>
          <w:iCs/>
        </w:rPr>
        <w:t xml:space="preserve"> na</w:t>
      </w:r>
      <w:r w:rsidRPr="00711DD4">
        <w:rPr>
          <w:i/>
          <w:iCs/>
        </w:rPr>
        <w:t> nejmodernější</w:t>
      </w:r>
      <w:r>
        <w:rPr>
          <w:i/>
          <w:iCs/>
        </w:rPr>
        <w:t>ch</w:t>
      </w:r>
      <w:r w:rsidRPr="00711DD4">
        <w:rPr>
          <w:i/>
          <w:iCs/>
        </w:rPr>
        <w:t xml:space="preserve"> technologi</w:t>
      </w:r>
      <w:r>
        <w:rPr>
          <w:i/>
          <w:iCs/>
        </w:rPr>
        <w:t>ích</w:t>
      </w:r>
      <w:r w:rsidRPr="00711DD4">
        <w:rPr>
          <w:i/>
          <w:iCs/>
        </w:rPr>
        <w:t xml:space="preserve"> a nástroj</w:t>
      </w:r>
      <w:r>
        <w:rPr>
          <w:i/>
          <w:iCs/>
        </w:rPr>
        <w:t>ích</w:t>
      </w:r>
      <w:r w:rsidRPr="00711DD4">
        <w:rPr>
          <w:i/>
          <w:iCs/>
        </w:rPr>
        <w:t xml:space="preserve">. </w:t>
      </w:r>
      <w:r w:rsidRPr="00D66B28">
        <w:rPr>
          <w:i/>
          <w:iCs/>
        </w:rPr>
        <w:t>Ve spolupráci s našimi klienty jsme n</w:t>
      </w:r>
      <w:r w:rsidRPr="00711DD4">
        <w:rPr>
          <w:i/>
          <w:iCs/>
        </w:rPr>
        <w:t xml:space="preserve">avrhli inteligentní produkty a </w:t>
      </w:r>
      <w:r w:rsidRPr="00D66B28">
        <w:rPr>
          <w:i/>
          <w:iCs/>
        </w:rPr>
        <w:t>služby</w:t>
      </w:r>
      <w:r w:rsidRPr="00711DD4">
        <w:rPr>
          <w:i/>
          <w:iCs/>
        </w:rPr>
        <w:t xml:space="preserve"> reag</w:t>
      </w:r>
      <w:r w:rsidR="00CC13E7">
        <w:rPr>
          <w:i/>
          <w:iCs/>
        </w:rPr>
        <w:t>ující</w:t>
      </w:r>
      <w:r w:rsidRPr="00711DD4">
        <w:rPr>
          <w:i/>
          <w:iCs/>
        </w:rPr>
        <w:t xml:space="preserve"> na jejich </w:t>
      </w:r>
      <w:r w:rsidR="00CC13E7">
        <w:rPr>
          <w:i/>
          <w:iCs/>
        </w:rPr>
        <w:t xml:space="preserve">aktuální </w:t>
      </w:r>
      <w:r w:rsidRPr="00711DD4">
        <w:rPr>
          <w:i/>
          <w:iCs/>
        </w:rPr>
        <w:t xml:space="preserve">požadavky a potřeby. </w:t>
      </w:r>
      <w:r w:rsidRPr="00D66B28">
        <w:rPr>
          <w:i/>
          <w:iCs/>
        </w:rPr>
        <w:t>Komerční</w:t>
      </w:r>
      <w:r w:rsidRPr="00711DD4">
        <w:rPr>
          <w:i/>
          <w:iCs/>
        </w:rPr>
        <w:t xml:space="preserve"> banka pokrač</w:t>
      </w:r>
      <w:r w:rsidRPr="00D66B28">
        <w:rPr>
          <w:i/>
          <w:iCs/>
        </w:rPr>
        <w:t>uje</w:t>
      </w:r>
      <w:r w:rsidRPr="00711DD4">
        <w:rPr>
          <w:i/>
          <w:iCs/>
        </w:rPr>
        <w:t xml:space="preserve"> ve své transformaci </w:t>
      </w:r>
      <w:r w:rsidR="00CC13E7">
        <w:rPr>
          <w:i/>
          <w:iCs/>
        </w:rPr>
        <w:t xml:space="preserve">s </w:t>
      </w:r>
      <w:r w:rsidRPr="00711DD4">
        <w:rPr>
          <w:i/>
          <w:iCs/>
        </w:rPr>
        <w:t>ambic</w:t>
      </w:r>
      <w:r w:rsidR="00CC13E7">
        <w:rPr>
          <w:i/>
          <w:iCs/>
        </w:rPr>
        <w:t>í</w:t>
      </w:r>
      <w:r w:rsidRPr="00711DD4">
        <w:rPr>
          <w:i/>
          <w:iCs/>
        </w:rPr>
        <w:t xml:space="preserve"> </w:t>
      </w:r>
      <w:r w:rsidR="00E51958">
        <w:rPr>
          <w:i/>
          <w:iCs/>
        </w:rPr>
        <w:t>být</w:t>
      </w:r>
      <w:r w:rsidRPr="00711DD4">
        <w:rPr>
          <w:i/>
          <w:iCs/>
        </w:rPr>
        <w:t xml:space="preserve"> l</w:t>
      </w:r>
      <w:r w:rsidR="00CC13E7">
        <w:rPr>
          <w:i/>
          <w:iCs/>
        </w:rPr>
        <w:t>ídrem</w:t>
      </w:r>
      <w:r w:rsidRPr="00711DD4">
        <w:rPr>
          <w:i/>
          <w:iCs/>
        </w:rPr>
        <w:t xml:space="preserve"> v nové éře bankovnictví, která </w:t>
      </w:r>
      <w:r w:rsidR="00557C4C">
        <w:rPr>
          <w:i/>
          <w:iCs/>
        </w:rPr>
        <w:t xml:space="preserve">je </w:t>
      </w:r>
      <w:r w:rsidRPr="00711DD4">
        <w:rPr>
          <w:i/>
          <w:iCs/>
        </w:rPr>
        <w:t>inovativn</w:t>
      </w:r>
      <w:r w:rsidR="00557C4C">
        <w:rPr>
          <w:i/>
          <w:iCs/>
        </w:rPr>
        <w:t>í</w:t>
      </w:r>
      <w:r w:rsidRPr="00711DD4">
        <w:rPr>
          <w:i/>
          <w:iCs/>
        </w:rPr>
        <w:t xml:space="preserve">, </w:t>
      </w:r>
      <w:r w:rsidR="00557C4C">
        <w:rPr>
          <w:i/>
          <w:iCs/>
        </w:rPr>
        <w:t xml:space="preserve">udržitelná a založená na inteligentní kombinaci </w:t>
      </w:r>
      <w:r w:rsidRPr="00D66B28">
        <w:rPr>
          <w:i/>
          <w:iCs/>
        </w:rPr>
        <w:t>digitáln</w:t>
      </w:r>
      <w:r w:rsidR="00557C4C">
        <w:rPr>
          <w:i/>
          <w:iCs/>
        </w:rPr>
        <w:t xml:space="preserve">ího a fyzického řešení pro klienta. </w:t>
      </w:r>
      <w:r w:rsidRPr="00711DD4">
        <w:rPr>
          <w:i/>
          <w:iCs/>
        </w:rPr>
        <w:t>“</w:t>
      </w:r>
      <w:r w:rsidRPr="00D66B28">
        <w:t xml:space="preserve"> říká Jan Juch</w:t>
      </w:r>
      <w:r>
        <w:t>el</w:t>
      </w:r>
      <w:r w:rsidRPr="00D66B28">
        <w:t xml:space="preserve">ka, předseda představenstva a generální ředitel Komerční banky. </w:t>
      </w:r>
    </w:p>
    <w:p w14:paraId="26739903" w14:textId="77777777" w:rsidR="00945BEC" w:rsidRPr="00D66B28" w:rsidRDefault="00945BEC" w:rsidP="00945BEC">
      <w:pPr>
        <w:jc w:val="both"/>
      </w:pPr>
    </w:p>
    <w:p w14:paraId="599F27AE" w14:textId="5F186958" w:rsidR="00945BEC" w:rsidRDefault="00945BEC" w:rsidP="00945BEC">
      <w:pPr>
        <w:jc w:val="both"/>
      </w:pPr>
      <w:r w:rsidRPr="00D66B28">
        <w:t xml:space="preserve">Tento </w:t>
      </w:r>
      <w:r w:rsidR="00CC13E7">
        <w:t xml:space="preserve">pravděpodobně </w:t>
      </w:r>
      <w:r w:rsidRPr="00D66B28">
        <w:t xml:space="preserve">nejvýznamnější </w:t>
      </w:r>
      <w:r w:rsidR="00CC13E7">
        <w:t xml:space="preserve">současný </w:t>
      </w:r>
      <w:r w:rsidRPr="00D66B28">
        <w:t xml:space="preserve">digitální projekt v České republice zahájený v roce 2020 umožňuje Skupině Komerční banky pokračovat ve své transformaci. Dalším významným milníkem byl podzim 2022, kdy proběhla úspěšná migrace správy platebních karet </w:t>
      </w:r>
      <w:r>
        <w:t>do</w:t>
      </w:r>
      <w:r w:rsidRPr="00D66B28">
        <w:t xml:space="preserve"> nov</w:t>
      </w:r>
      <w:r>
        <w:t>ého</w:t>
      </w:r>
      <w:r w:rsidRPr="00D66B28">
        <w:t xml:space="preserve"> systém</w:t>
      </w:r>
      <w:r>
        <w:t>u</w:t>
      </w:r>
      <w:r w:rsidRPr="00D66B28">
        <w:t xml:space="preserve"> TSYS Prime.</w:t>
      </w:r>
    </w:p>
    <w:p w14:paraId="1DFD96C6" w14:textId="77777777" w:rsidR="00945BEC" w:rsidRPr="00711DD4" w:rsidRDefault="00945BEC" w:rsidP="00945BEC">
      <w:pPr>
        <w:jc w:val="both"/>
      </w:pPr>
    </w:p>
    <w:p w14:paraId="49C2235D" w14:textId="468E328E" w:rsidR="00945BEC" w:rsidRPr="00D66B28" w:rsidRDefault="00945BEC" w:rsidP="00945BEC">
      <w:pPr>
        <w:rPr>
          <w:b/>
          <w:bCs/>
        </w:rPr>
      </w:pPr>
      <w:r w:rsidRPr="00711DD4">
        <w:rPr>
          <w:b/>
          <w:bCs/>
        </w:rPr>
        <w:t xml:space="preserve">Komerční banka </w:t>
      </w:r>
      <w:r w:rsidRPr="00D66B28">
        <w:rPr>
          <w:b/>
          <w:bCs/>
        </w:rPr>
        <w:t>se</w:t>
      </w:r>
      <w:r w:rsidR="00CC13E7">
        <w:rPr>
          <w:b/>
          <w:bCs/>
        </w:rPr>
        <w:t xml:space="preserve"> maximálně digitalizuje</w:t>
      </w:r>
    </w:p>
    <w:p w14:paraId="37D388DE" w14:textId="3B9BAB8B" w:rsidR="00945BEC" w:rsidRDefault="00945BEC" w:rsidP="00945BEC">
      <w:pPr>
        <w:jc w:val="both"/>
      </w:pPr>
      <w:r w:rsidRPr="00711DD4">
        <w:t>Nový bankovní core systém</w:t>
      </w:r>
      <w:r w:rsidRPr="00D66B28">
        <w:t xml:space="preserve">, nové kanály, nahrazení systému správy karet, zjednodušení služeb a procesů, nová architektura mikroslužeb a nové </w:t>
      </w:r>
      <w:r>
        <w:t>vý</w:t>
      </w:r>
      <w:r w:rsidRPr="00D66B28">
        <w:t xml:space="preserve">vojové technologie. Komerční banka začala psát svou moderní historii v roce 2018, když přešla na agilní způsob řízení, </w:t>
      </w:r>
      <w:r w:rsidR="00CC13E7">
        <w:t xml:space="preserve">v rámci kterého </w:t>
      </w:r>
      <w:r w:rsidRPr="00D66B28">
        <w:t>téměř 3 000 zaměstnanců na centrále KB změnilo pozici nebo t</w:t>
      </w:r>
      <w:r w:rsidR="00CC13E7">
        <w:t>ý</w:t>
      </w:r>
      <w:r w:rsidRPr="00D66B28">
        <w:t>m. Struktura řízení byla zjednodušena a zploštěna. IT</w:t>
      </w:r>
      <w:r w:rsidR="00CC13E7">
        <w:t xml:space="preserve"> specialisté</w:t>
      </w:r>
      <w:r w:rsidRPr="00D66B28">
        <w:t>, obchodní</w:t>
      </w:r>
      <w:r w:rsidR="00CC13E7">
        <w:t>ci, produktoví manažeři</w:t>
      </w:r>
      <w:r w:rsidRPr="00D66B28">
        <w:t xml:space="preserve"> </w:t>
      </w:r>
      <w:r>
        <w:t xml:space="preserve">apod. </w:t>
      </w:r>
      <w:r w:rsidRPr="00D66B28">
        <w:t>nyní pracují společně</w:t>
      </w:r>
      <w:r w:rsidR="00CC13E7">
        <w:t xml:space="preserve"> v menších a agilnějších týmech</w:t>
      </w:r>
      <w:r w:rsidRPr="00D66B28">
        <w:t xml:space="preserve">, aby lépe </w:t>
      </w:r>
      <w:r w:rsidR="00CC13E7">
        <w:t xml:space="preserve">a rychleji </w:t>
      </w:r>
      <w:r w:rsidRPr="00D66B28">
        <w:t>vyhověl</w:t>
      </w:r>
      <w:r w:rsidR="00CC13E7">
        <w:t>i</w:t>
      </w:r>
      <w:r w:rsidRPr="00D66B28">
        <w:t xml:space="preserve"> očekávání klientů.</w:t>
      </w:r>
    </w:p>
    <w:p w14:paraId="432582CC" w14:textId="77777777" w:rsidR="00945BEC" w:rsidRPr="00D66B28" w:rsidRDefault="00945BEC" w:rsidP="00945BEC">
      <w:pPr>
        <w:jc w:val="both"/>
      </w:pPr>
    </w:p>
    <w:p w14:paraId="49367D92" w14:textId="05C86623" w:rsidR="00945BEC" w:rsidRPr="00916B99" w:rsidRDefault="00916B99" w:rsidP="008E49F7">
      <w:pPr>
        <w:jc w:val="both"/>
        <w:rPr>
          <w:b/>
          <w:bCs/>
        </w:rPr>
      </w:pPr>
      <w:r w:rsidRPr="00916B99">
        <w:rPr>
          <w:i/>
          <w:iCs/>
        </w:rPr>
        <w:t>„</w:t>
      </w:r>
      <w:r w:rsidR="00945BEC" w:rsidRPr="00916B99">
        <w:rPr>
          <w:i/>
          <w:iCs/>
        </w:rPr>
        <w:t xml:space="preserve">Pro větší obchodní úspěch a spokojenost klientů bude v příštích třech letech k dispozici </w:t>
      </w:r>
      <w:r w:rsidR="00CC13E7">
        <w:rPr>
          <w:i/>
          <w:iCs/>
        </w:rPr>
        <w:t>aktuální</w:t>
      </w:r>
      <w:r w:rsidR="00945BEC" w:rsidRPr="00916B99">
        <w:rPr>
          <w:i/>
          <w:iCs/>
        </w:rPr>
        <w:t xml:space="preserve"> i nová technologie a převod klientů bude postupný. Letos se to bude týkat 300 tisíc retailových klient</w:t>
      </w:r>
      <w:r w:rsidR="00CC13E7">
        <w:rPr>
          <w:i/>
          <w:iCs/>
        </w:rPr>
        <w:t>ů</w:t>
      </w:r>
      <w:r w:rsidR="00945BEC" w:rsidRPr="00916B99">
        <w:rPr>
          <w:i/>
          <w:iCs/>
        </w:rPr>
        <w:t xml:space="preserve">, od příštího roku pak </w:t>
      </w:r>
      <w:r w:rsidR="00CC13E7">
        <w:rPr>
          <w:i/>
          <w:iCs/>
        </w:rPr>
        <w:t xml:space="preserve">i </w:t>
      </w:r>
      <w:r w:rsidR="00945BEC" w:rsidRPr="00916B99">
        <w:rPr>
          <w:i/>
          <w:iCs/>
        </w:rPr>
        <w:t>korporátních klientů.</w:t>
      </w:r>
      <w:r w:rsidR="008E49F7" w:rsidRPr="00916B99">
        <w:rPr>
          <w:i/>
          <w:iCs/>
        </w:rPr>
        <w:t xml:space="preserve"> </w:t>
      </w:r>
      <w:r w:rsidR="00945BEC" w:rsidRPr="00916B99">
        <w:rPr>
          <w:i/>
          <w:iCs/>
        </w:rPr>
        <w:t xml:space="preserve">Provoz dvou technologií a neustálý aktivní vývoj </w:t>
      </w:r>
      <w:r w:rsidR="00CC13E7">
        <w:rPr>
          <w:i/>
          <w:iCs/>
        </w:rPr>
        <w:t>představuje</w:t>
      </w:r>
      <w:r w:rsidR="00945BEC" w:rsidRPr="00916B99">
        <w:rPr>
          <w:i/>
          <w:iCs/>
        </w:rPr>
        <w:t xml:space="preserve"> pro banku novou výzvu. Banka </w:t>
      </w:r>
      <w:r w:rsidR="00CC13E7">
        <w:rPr>
          <w:i/>
          <w:iCs/>
        </w:rPr>
        <w:t xml:space="preserve">budoucnosti, a Komerční banka jí dnes nesporně je, musí být </w:t>
      </w:r>
      <w:r w:rsidR="00945BEC" w:rsidRPr="00916B99">
        <w:rPr>
          <w:i/>
          <w:iCs/>
        </w:rPr>
        <w:t>postavena na automatizaci, lepší kvalitě, dobré provozní stabilitě, datech a cloudu</w:t>
      </w:r>
      <w:r w:rsidRPr="00916B99">
        <w:rPr>
          <w:i/>
          <w:iCs/>
        </w:rPr>
        <w:t>,“</w:t>
      </w:r>
      <w:r>
        <w:t xml:space="preserve"> říká Margus Simson, člen představenstva zodpovědný za digitální transformaci.</w:t>
      </w:r>
    </w:p>
    <w:p w14:paraId="1E196C1F" w14:textId="77777777" w:rsidR="00945BEC" w:rsidRDefault="00945BEC" w:rsidP="00945BEC">
      <w:pPr>
        <w:rPr>
          <w:b/>
          <w:bCs/>
        </w:rPr>
      </w:pPr>
    </w:p>
    <w:p w14:paraId="4A7C2A79" w14:textId="6039A26F" w:rsidR="00945BEC" w:rsidRPr="00D66B28" w:rsidRDefault="00945BEC" w:rsidP="00945BEC">
      <w:pPr>
        <w:rPr>
          <w:b/>
          <w:bCs/>
        </w:rPr>
      </w:pPr>
      <w:r w:rsidRPr="00D66B28">
        <w:rPr>
          <w:b/>
          <w:bCs/>
        </w:rPr>
        <w:t>KB soustředěna na klienta</w:t>
      </w:r>
    </w:p>
    <w:p w14:paraId="09DD3BEA" w14:textId="0F647EDC" w:rsidR="00945BEC" w:rsidRDefault="00945BEC" w:rsidP="00945BEC">
      <w:r w:rsidRPr="00D66B28">
        <w:lastRenderedPageBreak/>
        <w:t xml:space="preserve">Ať je klient na pobočce s bankéřem nebo </w:t>
      </w:r>
      <w:r w:rsidR="000E6239">
        <w:t>ve</w:t>
      </w:r>
      <w:r w:rsidRPr="00D66B28">
        <w:t xml:space="preserve"> své bankovní aplikaci, zážitek a design </w:t>
      </w:r>
      <w:r>
        <w:t>jsou pro něj</w:t>
      </w:r>
      <w:r w:rsidRPr="00D66B28">
        <w:t xml:space="preserve"> stejné</w:t>
      </w:r>
      <w:r w:rsidR="000E6239">
        <w:t xml:space="preserve">. Navíc může </w:t>
      </w:r>
      <w:r w:rsidRPr="00D66B28">
        <w:t>klient využívat intuitivní vyhledávací nástroj</w:t>
      </w:r>
      <w:r>
        <w:t>, který mu pomůže s</w:t>
      </w:r>
      <w:r w:rsidR="000E6239">
        <w:t xml:space="preserve">e všemi </w:t>
      </w:r>
      <w:r>
        <w:t>jeho po</w:t>
      </w:r>
      <w:r w:rsidR="000E6239">
        <w:t>žadavky</w:t>
      </w:r>
      <w:r w:rsidRPr="00D66B28">
        <w:t>. Všechny nově vybudované služby jsou snadno a rychle dostupné. Produkty jsou k dispozici na několik kliknutí v digitálních kanálech.</w:t>
      </w:r>
      <w:r w:rsidR="000E6239">
        <w:t xml:space="preserve"> </w:t>
      </w:r>
      <w:r w:rsidRPr="00D66B28">
        <w:t>Veškerý prodej, služby a podporu může klient sjednat, využívat, měnit a rušit plně online. Pokud klient potřebuje podporu, omnikanálový přístup mu samozřejmě umožní diskutovat s bankéřem na dálku, kontaktovat centrum podpory nebo přímo navštívit pobočku.</w:t>
      </w:r>
    </w:p>
    <w:p w14:paraId="1D6369A5" w14:textId="5F5300F0" w:rsidR="006A3CAF" w:rsidRPr="00DB4B06" w:rsidRDefault="006A3CAF" w:rsidP="00DB4B06">
      <w:pPr>
        <w:jc w:val="both"/>
      </w:pPr>
      <w:r w:rsidRPr="00DB4B06">
        <w:rPr>
          <w:i/>
          <w:iCs/>
        </w:rPr>
        <w:t xml:space="preserve">„Do konce roku 2025 plánujeme otevřít 80 poboček v novém designu napříč celou Českou republikou, jedná se o téměř polovinu našich </w:t>
      </w:r>
      <w:r w:rsidR="00B0339B">
        <w:rPr>
          <w:i/>
          <w:iCs/>
        </w:rPr>
        <w:t>poboček</w:t>
      </w:r>
      <w:r w:rsidRPr="00DB4B06">
        <w:rPr>
          <w:i/>
          <w:iCs/>
        </w:rPr>
        <w:t xml:space="preserve">. A to v lokalitách vybraných tak, aby se s námi v prostorách s takto moderním designem měly možnost setkávat již více než dvě třetiny našich klientů. Břeclav, Praha, Brno, Přerov nebo Domažlice, to jsou zase příklady měst, kde se klienti mohou už s novým konceptem setkat. </w:t>
      </w:r>
      <w:r w:rsidR="00DB4B06" w:rsidRPr="00DB4B06">
        <w:rPr>
          <w:i/>
          <w:iCs/>
        </w:rPr>
        <w:t xml:space="preserve">Zároveň klientům nabízíme i tzv. obsluhu na dálku. V praxi to znamená, že klientovi nabízíme </w:t>
      </w:r>
      <w:r w:rsidR="001B5CBF">
        <w:rPr>
          <w:i/>
          <w:iCs/>
        </w:rPr>
        <w:t xml:space="preserve">jednoduché řešení - </w:t>
      </w:r>
      <w:r w:rsidRPr="00DB4B06">
        <w:rPr>
          <w:i/>
          <w:iCs/>
        </w:rPr>
        <w:t>komplexní vzdálen</w:t>
      </w:r>
      <w:r w:rsidR="00DB4B06" w:rsidRPr="00DB4B06">
        <w:rPr>
          <w:i/>
          <w:iCs/>
        </w:rPr>
        <w:t>ou</w:t>
      </w:r>
      <w:r w:rsidRPr="00DB4B06">
        <w:rPr>
          <w:i/>
          <w:iCs/>
        </w:rPr>
        <w:t xml:space="preserve"> obsluh</w:t>
      </w:r>
      <w:r w:rsidR="00DB4B06" w:rsidRPr="00DB4B06">
        <w:rPr>
          <w:i/>
          <w:iCs/>
        </w:rPr>
        <w:t>u</w:t>
      </w:r>
      <w:r w:rsidRPr="00DB4B06">
        <w:rPr>
          <w:i/>
          <w:iCs/>
        </w:rPr>
        <w:t xml:space="preserve"> je</w:t>
      </w:r>
      <w:r w:rsidR="00DB4B06" w:rsidRPr="00DB4B06">
        <w:rPr>
          <w:i/>
          <w:iCs/>
        </w:rPr>
        <w:t>ho</w:t>
      </w:r>
      <w:r w:rsidRPr="00DB4B06">
        <w:rPr>
          <w:i/>
          <w:iCs/>
        </w:rPr>
        <w:t xml:space="preserve"> financí a poradenství prostřednictvím on-line schůzek, ať už po telefonu či prostřednictvím viedohovoru. Se svým bankéřem tedy vyřeší vše, co potřebuj</w:t>
      </w:r>
      <w:r w:rsidR="00DB4B06" w:rsidRPr="00DB4B06">
        <w:rPr>
          <w:i/>
          <w:iCs/>
        </w:rPr>
        <w:t>e,</w:t>
      </w:r>
      <w:r w:rsidRPr="00DB4B06">
        <w:rPr>
          <w:i/>
          <w:iCs/>
        </w:rPr>
        <w:t xml:space="preserve"> bez potřeby toho, aby osobně navštívil</w:t>
      </w:r>
      <w:r w:rsidR="00DB4B06" w:rsidRPr="00DB4B06">
        <w:rPr>
          <w:i/>
          <w:iCs/>
        </w:rPr>
        <w:t xml:space="preserve"> </w:t>
      </w:r>
      <w:r w:rsidRPr="00DB4B06">
        <w:rPr>
          <w:i/>
          <w:iCs/>
        </w:rPr>
        <w:t>pobočku. I</w:t>
      </w:r>
      <w:r w:rsidR="00DB4B06" w:rsidRPr="00DB4B06">
        <w:rPr>
          <w:i/>
          <w:iCs/>
        </w:rPr>
        <w:t xml:space="preserve"> o tomhle je nová éra českého bankovnictví psaná Komerční bankou,“</w:t>
      </w:r>
      <w:r w:rsidR="00DB4B06" w:rsidRPr="00DB4B06">
        <w:t xml:space="preserve"> podotýká Miroslav Hiršl, člen představenstva zodpovědný za Retailové bankovnictví.</w:t>
      </w:r>
    </w:p>
    <w:p w14:paraId="08F28356" w14:textId="6BA6DAA6" w:rsidR="008E49F7" w:rsidRDefault="008E49F7" w:rsidP="00945BEC"/>
    <w:p w14:paraId="7B1F10C8" w14:textId="489C4D5F" w:rsidR="008E49F7" w:rsidRPr="008E49F7" w:rsidRDefault="008E49F7" w:rsidP="00945BEC">
      <w:pPr>
        <w:rPr>
          <w:b/>
          <w:bCs/>
        </w:rPr>
      </w:pPr>
      <w:r w:rsidRPr="008E49F7">
        <w:rPr>
          <w:b/>
          <w:bCs/>
        </w:rPr>
        <w:t>Klienti budou mít nově na výběr ze 4 tarifů:</w:t>
      </w:r>
    </w:p>
    <w:p w14:paraId="2F511A71" w14:textId="2567FD93" w:rsidR="008E49F7" w:rsidRDefault="008E49F7" w:rsidP="00945BEC">
      <w:r>
        <w:rPr>
          <w:noProof/>
        </w:rPr>
        <w:drawing>
          <wp:inline distT="0" distB="0" distL="0" distR="0" wp14:anchorId="3B632E69" wp14:editId="4B6FC833">
            <wp:extent cx="1562100" cy="3382342"/>
            <wp:effectExtent l="0" t="0" r="0" b="889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521" cy="339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0A1A93F2" wp14:editId="203B7E46">
            <wp:extent cx="1460500" cy="3489586"/>
            <wp:effectExtent l="0" t="0" r="635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060" cy="349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C5330" w14:textId="46AF9BAC" w:rsidR="008E49F7" w:rsidRDefault="008E49F7" w:rsidP="00945BEC"/>
    <w:p w14:paraId="59F3E0B6" w14:textId="0A8600CB" w:rsidR="008E49F7" w:rsidRPr="008E49F7" w:rsidRDefault="008E49F7" w:rsidP="00945BEC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1546CADD" wp14:editId="7AD89BC9">
            <wp:extent cx="1374016" cy="32829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65" cy="335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noProof/>
        </w:rPr>
        <w:drawing>
          <wp:inline distT="0" distB="0" distL="0" distR="0" wp14:anchorId="6CCA1EE2" wp14:editId="4ACB98F3">
            <wp:extent cx="1360729" cy="3251200"/>
            <wp:effectExtent l="0" t="0" r="0" b="635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842" cy="327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D4759" w14:textId="77777777" w:rsidR="008E49F7" w:rsidRPr="00D66B28" w:rsidRDefault="008E49F7" w:rsidP="00945BEC"/>
    <w:p w14:paraId="1731EE5E" w14:textId="77777777" w:rsidR="008E49F7" w:rsidRDefault="008E49F7" w:rsidP="00945BEC"/>
    <w:p w14:paraId="147FB934" w14:textId="77777777" w:rsidR="008E49F7" w:rsidRDefault="008E49F7" w:rsidP="00945BEC"/>
    <w:p w14:paraId="2E0728DD" w14:textId="411A2239" w:rsidR="00945BEC" w:rsidRDefault="00916B99" w:rsidP="00945BEC">
      <w:r>
        <w:rPr>
          <w:i/>
          <w:iCs/>
        </w:rPr>
        <w:t>„</w:t>
      </w:r>
      <w:r w:rsidR="00945BEC" w:rsidRPr="00916B99">
        <w:rPr>
          <w:i/>
          <w:iCs/>
        </w:rPr>
        <w:t>Nejviditelnější změn</w:t>
      </w:r>
      <w:r w:rsidR="000E6239">
        <w:rPr>
          <w:i/>
          <w:iCs/>
        </w:rPr>
        <w:t>u</w:t>
      </w:r>
      <w:r w:rsidR="00945BEC" w:rsidRPr="00916B99">
        <w:rPr>
          <w:i/>
          <w:iCs/>
        </w:rPr>
        <w:t xml:space="preserve"> pro klienty </w:t>
      </w:r>
      <w:r w:rsidR="000E6239">
        <w:rPr>
          <w:i/>
          <w:iCs/>
        </w:rPr>
        <w:t xml:space="preserve">představuje </w:t>
      </w:r>
      <w:r w:rsidR="00945BEC" w:rsidRPr="00916B99">
        <w:rPr>
          <w:i/>
          <w:iCs/>
        </w:rPr>
        <w:t>nová aplikace KB+</w:t>
      </w:r>
      <w:r w:rsidR="000E6239">
        <w:rPr>
          <w:i/>
          <w:iCs/>
        </w:rPr>
        <w:t xml:space="preserve">. Svůj mobil totiž </w:t>
      </w:r>
      <w:r w:rsidR="00945BEC" w:rsidRPr="00916B99">
        <w:rPr>
          <w:i/>
          <w:iCs/>
        </w:rPr>
        <w:t xml:space="preserve">již </w:t>
      </w:r>
      <w:r w:rsidR="000E6239">
        <w:rPr>
          <w:i/>
          <w:iCs/>
        </w:rPr>
        <w:t xml:space="preserve">nyní </w:t>
      </w:r>
      <w:r w:rsidR="00945BEC" w:rsidRPr="00916B99">
        <w:rPr>
          <w:i/>
          <w:iCs/>
        </w:rPr>
        <w:t>klienti využívají pro komunikaci s</w:t>
      </w:r>
      <w:r w:rsidR="000E6239">
        <w:rPr>
          <w:i/>
          <w:iCs/>
        </w:rPr>
        <w:t> </w:t>
      </w:r>
      <w:r w:rsidR="00945BEC" w:rsidRPr="00916B99">
        <w:rPr>
          <w:i/>
          <w:iCs/>
        </w:rPr>
        <w:t>bankou</w:t>
      </w:r>
      <w:r w:rsidR="000E6239">
        <w:rPr>
          <w:i/>
          <w:iCs/>
        </w:rPr>
        <w:t xml:space="preserve"> nejvíce</w:t>
      </w:r>
      <w:r w:rsidR="00945BEC" w:rsidRPr="00916B99">
        <w:rPr>
          <w:i/>
          <w:iCs/>
        </w:rPr>
        <w:t>. KB+ se stává jejich jedinou aplikací</w:t>
      </w:r>
      <w:r w:rsidR="000E6239">
        <w:rPr>
          <w:i/>
          <w:iCs/>
        </w:rPr>
        <w:t xml:space="preserve">, v níž je </w:t>
      </w:r>
      <w:r w:rsidR="00945BEC" w:rsidRPr="00916B99">
        <w:rPr>
          <w:i/>
          <w:iCs/>
        </w:rPr>
        <w:t xml:space="preserve">zahrnuta </w:t>
      </w:r>
      <w:r w:rsidR="000E6239">
        <w:rPr>
          <w:i/>
          <w:iCs/>
        </w:rPr>
        <w:t xml:space="preserve">i </w:t>
      </w:r>
      <w:r w:rsidR="00945BEC" w:rsidRPr="00916B99">
        <w:rPr>
          <w:i/>
          <w:iCs/>
        </w:rPr>
        <w:t>aplikace KB Klíč. Mobilní a internetové bankovnictví mají stejný design a funkce pro jednodušší používání</w:t>
      </w:r>
      <w:r w:rsidR="008E49F7" w:rsidRPr="00916B99">
        <w:rPr>
          <w:i/>
          <w:iCs/>
        </w:rPr>
        <w:t>,“</w:t>
      </w:r>
      <w:r w:rsidR="008E49F7">
        <w:t xml:space="preserve"> říká Miroslav Hiršl, člen představenstva zodpovědný za </w:t>
      </w:r>
      <w:r w:rsidR="000E6239">
        <w:t>r</w:t>
      </w:r>
      <w:r w:rsidR="008E49F7">
        <w:t>etailové bankovnictví.</w:t>
      </w:r>
    </w:p>
    <w:p w14:paraId="0D068733" w14:textId="4E7D7908" w:rsidR="00916B99" w:rsidRDefault="00916B99" w:rsidP="00945BEC"/>
    <w:p w14:paraId="318CD936" w14:textId="10879EBD" w:rsidR="00945BEC" w:rsidRPr="008E49F7" w:rsidRDefault="008E49F7" w:rsidP="00945BEC">
      <w:pPr>
        <w:rPr>
          <w:b/>
          <w:bCs/>
        </w:rPr>
      </w:pPr>
      <w:r>
        <w:rPr>
          <w:b/>
          <w:bCs/>
        </w:rPr>
        <w:t>Přechod</w:t>
      </w:r>
      <w:r w:rsidR="00945BEC" w:rsidRPr="00D66B28">
        <w:rPr>
          <w:b/>
          <w:bCs/>
        </w:rPr>
        <w:t xml:space="preserve"> klientů</w:t>
      </w:r>
      <w:r>
        <w:rPr>
          <w:b/>
          <w:bCs/>
        </w:rPr>
        <w:t xml:space="preserve"> do nové banky</w:t>
      </w:r>
    </w:p>
    <w:p w14:paraId="0375ABB6" w14:textId="15FBBBFC" w:rsidR="00945BEC" w:rsidRDefault="00945BEC" w:rsidP="008E49F7">
      <w:pPr>
        <w:jc w:val="both"/>
      </w:pPr>
      <w:r w:rsidRPr="00D66B28">
        <w:t xml:space="preserve">Migrace klientů (retailových a korporátních) bude probíhat postupně do roku 2025. Letos bude moci začít využívat novou </w:t>
      </w:r>
      <w:r w:rsidR="008E49F7">
        <w:t>banku</w:t>
      </w:r>
      <w:r w:rsidRPr="00D66B28">
        <w:t xml:space="preserve"> téměř 300 000 klientů</w:t>
      </w:r>
      <w:r w:rsidR="000E6239">
        <w:t xml:space="preserve"> KB</w:t>
      </w:r>
      <w:r w:rsidRPr="00D66B28">
        <w:t xml:space="preserve">, kteří budou postupně převedeni ze </w:t>
      </w:r>
      <w:r w:rsidR="000E6239">
        <w:t>současného</w:t>
      </w:r>
      <w:r w:rsidR="000E6239" w:rsidRPr="00D66B28">
        <w:t xml:space="preserve"> </w:t>
      </w:r>
      <w:r w:rsidRPr="00D66B28">
        <w:t xml:space="preserve">do nového světa. Bude se jednat o obchodní migraci, tedy opak technické migrace, protože každý klient bude </w:t>
      </w:r>
      <w:r w:rsidR="000E6239">
        <w:t xml:space="preserve">nejen </w:t>
      </w:r>
      <w:r w:rsidRPr="00D66B28">
        <w:t xml:space="preserve">převeden do aplikace KB+, ale </w:t>
      </w:r>
      <w:r w:rsidR="000E6239">
        <w:t xml:space="preserve">současně </w:t>
      </w:r>
      <w:r w:rsidRPr="00D66B28">
        <w:t>získá novou klientskou propozici založenou na zjednodušení produktů a procesů, no</w:t>
      </w:r>
      <w:r w:rsidR="000E6239">
        <w:t>vých</w:t>
      </w:r>
      <w:r w:rsidRPr="00D66B28">
        <w:t xml:space="preserve"> a moderní</w:t>
      </w:r>
      <w:r w:rsidR="000E6239">
        <w:t>ch</w:t>
      </w:r>
      <w:r w:rsidRPr="00D66B28">
        <w:t xml:space="preserve"> tarif</w:t>
      </w:r>
      <w:r w:rsidR="000E6239">
        <w:t>ech</w:t>
      </w:r>
      <w:r w:rsidRPr="00D66B28">
        <w:t>, plně digitální nabídce a zjednodušené obsluze klientů.</w:t>
      </w:r>
      <w:r w:rsidR="006A3CAF">
        <w:t xml:space="preserve"> Noví klienti budou automaticky obsluhováni již na nové platformě. </w:t>
      </w:r>
    </w:p>
    <w:p w14:paraId="3E49C7EB" w14:textId="2F875DC9" w:rsidR="008E49F7" w:rsidRDefault="008E49F7" w:rsidP="008E49F7">
      <w:pPr>
        <w:jc w:val="both"/>
      </w:pPr>
    </w:p>
    <w:p w14:paraId="7725B292" w14:textId="6F10F2B9" w:rsidR="008E49F7" w:rsidRPr="00D66B28" w:rsidRDefault="008E49F7" w:rsidP="008E49F7">
      <w:pPr>
        <w:jc w:val="both"/>
      </w:pPr>
      <w:r>
        <w:rPr>
          <w:noProof/>
        </w:rPr>
        <w:drawing>
          <wp:inline distT="0" distB="0" distL="0" distR="0" wp14:anchorId="7654075B" wp14:editId="3A5074D0">
            <wp:extent cx="6083300" cy="478778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057" cy="48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91658" w14:textId="77777777" w:rsidR="00945BEC" w:rsidRPr="00D66B28" w:rsidRDefault="00945BEC" w:rsidP="00945BEC"/>
    <w:p w14:paraId="12EB14C6" w14:textId="77777777" w:rsidR="00945BEC" w:rsidRPr="00D66B28" w:rsidRDefault="00945BEC" w:rsidP="00945BEC">
      <w:pPr>
        <w:rPr>
          <w:b/>
          <w:bCs/>
        </w:rPr>
      </w:pPr>
      <w:r w:rsidRPr="00D66B28">
        <w:rPr>
          <w:b/>
          <w:bCs/>
        </w:rPr>
        <w:t>Uznávaná udržitelná banka</w:t>
      </w:r>
    </w:p>
    <w:p w14:paraId="5F88AB7F" w14:textId="311D1EF3" w:rsidR="00945BEC" w:rsidRPr="00D66B28" w:rsidRDefault="00945BEC" w:rsidP="00945BEC">
      <w:r w:rsidRPr="00D66B28">
        <w:t>Udržitelnost je součástí DNA Komerční bank</w:t>
      </w:r>
      <w:r w:rsidR="00916B99">
        <w:t>y</w:t>
      </w:r>
      <w:r w:rsidRPr="00D66B28">
        <w:t xml:space="preserve"> a KB je </w:t>
      </w:r>
      <w:r w:rsidR="000E6239">
        <w:t xml:space="preserve">v této oblasti </w:t>
      </w:r>
      <w:r w:rsidRPr="00D66B28">
        <w:t>nezpochybnitelným lídrem na domácím bankovním trhu. Banka již v této oblasti zahájila několik iniciativ:</w:t>
      </w:r>
    </w:p>
    <w:p w14:paraId="1928107D" w14:textId="2D78DD5D" w:rsidR="00945BEC" w:rsidRPr="00D66B28" w:rsidRDefault="00000000" w:rsidP="00945BEC">
      <w:pPr>
        <w:numPr>
          <w:ilvl w:val="0"/>
          <w:numId w:val="2"/>
        </w:numPr>
        <w:spacing w:after="160" w:line="259" w:lineRule="auto"/>
      </w:pPr>
      <w:hyperlink r:id="rId14" w:history="1">
        <w:r w:rsidR="00945BEC" w:rsidRPr="00916B99">
          <w:rPr>
            <w:rStyle w:val="Hypertextovodkaz"/>
          </w:rPr>
          <w:t>Nová strategie ESG</w:t>
        </w:r>
      </w:hyperlink>
      <w:r w:rsidR="00945BEC" w:rsidRPr="00D66B28">
        <w:t xml:space="preserve"> a </w:t>
      </w:r>
      <w:hyperlink r:id="rId15" w:history="1">
        <w:r w:rsidR="00945BEC" w:rsidRPr="00916B99">
          <w:rPr>
            <w:rStyle w:val="Hypertextovodkaz"/>
          </w:rPr>
          <w:t>nově konsolidovaná zpráva o udržitelnosti Skupiny KB</w:t>
        </w:r>
      </w:hyperlink>
      <w:r w:rsidR="00945BEC" w:rsidRPr="00D66B28">
        <w:t>. KB je první bankou, která získala ocenění Udržitelná banka roku. Loni KB také získala cenu Bank</w:t>
      </w:r>
      <w:r w:rsidR="00945BEC">
        <w:t>a</w:t>
      </w:r>
      <w:r w:rsidR="00945BEC" w:rsidRPr="00D66B28">
        <w:t xml:space="preserve"> roku bez bariér. Získáním ESG ratingu AA MSCI se KB řadí mezi přední globální společnosti.</w:t>
      </w:r>
    </w:p>
    <w:p w14:paraId="1D2961D7" w14:textId="12C77275" w:rsidR="006A3CAF" w:rsidRDefault="006A3CAF" w:rsidP="006A3CAF">
      <w:pPr>
        <w:numPr>
          <w:ilvl w:val="0"/>
          <w:numId w:val="2"/>
        </w:numPr>
        <w:spacing w:after="160" w:line="259" w:lineRule="auto"/>
        <w:jc w:val="both"/>
      </w:pPr>
      <w:r w:rsidRPr="006A3CAF">
        <w:lastRenderedPageBreak/>
        <w:t>Udělali jsme další velký krok v oblasti sdílení společné infrastruktury</w:t>
      </w:r>
      <w:r>
        <w:t xml:space="preserve"> bankomatové sítě -</w:t>
      </w:r>
      <w:r w:rsidRPr="006A3CAF">
        <w:t xml:space="preserve"> od února 2023 </w:t>
      </w:r>
      <w:r>
        <w:t>mohou</w:t>
      </w:r>
      <w:r w:rsidRPr="006A3CAF">
        <w:t xml:space="preserve"> klienti Komerční banka</w:t>
      </w:r>
      <w:r>
        <w:t>, Moneta</w:t>
      </w:r>
      <w:r w:rsidRPr="006A3CAF">
        <w:t xml:space="preserve"> Money Bank</w:t>
      </w:r>
      <w:r>
        <w:t>,</w:t>
      </w:r>
      <w:r w:rsidRPr="006A3CAF">
        <w:t xml:space="preserve"> Air Bank</w:t>
      </w:r>
      <w:r>
        <w:t xml:space="preserve"> a</w:t>
      </w:r>
      <w:r w:rsidRPr="006A3CAF">
        <w:t xml:space="preserve"> UniCredit vybírat hotovost </w:t>
      </w:r>
      <w:r>
        <w:t>z</w:t>
      </w:r>
      <w:r w:rsidRPr="006A3CAF">
        <w:t xml:space="preserve">e sdílených </w:t>
      </w:r>
      <w:r>
        <w:t>bankomatů</w:t>
      </w:r>
      <w:r w:rsidRPr="006A3CAF">
        <w:t xml:space="preserve"> za stejných podmínek jako z bankomatů své vlastní banky. Hlavním cílem je zvýšení dostupnosti bankomatů pro naše klienty. Díky sdílení bankomatů </w:t>
      </w:r>
      <w:r>
        <w:t xml:space="preserve">se </w:t>
      </w:r>
      <w:r w:rsidRPr="006A3CAF">
        <w:t>přes</w:t>
      </w:r>
      <w:r>
        <w:t>ouvají</w:t>
      </w:r>
      <w:r w:rsidRPr="006A3CAF">
        <w:t xml:space="preserve"> stávající duplicitní bankomaty tam, kde jsou více potřeba. </w:t>
      </w:r>
      <w:r>
        <w:t>Dalším pozitivním dopadem</w:t>
      </w:r>
      <w:r w:rsidRPr="006A3CAF">
        <w:t xml:space="preserve"> je snížení spotřeby energií a dalších nákladů nutných k provozování oddělených bankomatových sítí.</w:t>
      </w:r>
    </w:p>
    <w:p w14:paraId="666B8287" w14:textId="2D072237" w:rsidR="00945BEC" w:rsidRPr="00D66B28" w:rsidRDefault="00945BEC" w:rsidP="00945BEC">
      <w:pPr>
        <w:numPr>
          <w:ilvl w:val="0"/>
          <w:numId w:val="2"/>
        </w:numPr>
        <w:spacing w:after="160" w:line="259" w:lineRule="auto"/>
      </w:pPr>
      <w:r w:rsidRPr="00D66B28">
        <w:t xml:space="preserve"> Snížení uhlíkové stopy KB o více než 42 % díky opatřením jako </w:t>
      </w:r>
      <w:r w:rsidR="00684D56">
        <w:t xml:space="preserve">jsou </w:t>
      </w:r>
      <w:r>
        <w:t>úspor</w:t>
      </w:r>
      <w:r w:rsidR="00684D56">
        <w:t>a</w:t>
      </w:r>
      <w:r w:rsidRPr="00D66B28">
        <w:t xml:space="preserve"> elektřiny, stěhování do nových budov, lepší měření spotřeby, centralizace poboček nebo nákup elektrovozidel.</w:t>
      </w:r>
    </w:p>
    <w:p w14:paraId="0B8F27BC" w14:textId="457B6A75" w:rsidR="00945BEC" w:rsidRPr="00945BEC" w:rsidRDefault="00945BEC" w:rsidP="00014683"/>
    <w:p w14:paraId="65E0E484" w14:textId="77777777" w:rsidR="00945BEC" w:rsidRDefault="00945BEC" w:rsidP="00014683"/>
    <w:p w14:paraId="0E646EA8" w14:textId="30182012" w:rsidR="008E5786" w:rsidRDefault="008E5786" w:rsidP="00351FF5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29BEE" wp14:editId="24E24891">
                <wp:simplePos x="0" y="0"/>
                <wp:positionH relativeFrom="column">
                  <wp:posOffset>3810</wp:posOffset>
                </wp:positionH>
                <wp:positionV relativeFrom="paragraph">
                  <wp:posOffset>170815</wp:posOffset>
                </wp:positionV>
                <wp:extent cx="6120130" cy="0"/>
                <wp:effectExtent l="0" t="0" r="1397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72BE8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3.45pt" to="482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" strokecolor="#bfbfbf [2412]" strokeweight=".5pt">
                <v:stroke joinstyle="miter"/>
              </v:line>
            </w:pict>
          </mc:Fallback>
        </mc:AlternateContent>
      </w:r>
    </w:p>
    <w:p w14:paraId="695A8E30" w14:textId="0BE6CB76" w:rsidR="008E5786" w:rsidRDefault="008E5786" w:rsidP="00351FF5">
      <w:pPr>
        <w:rPr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27" w:type="dxa"/>
        </w:tblCellMar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8E5786" w14:paraId="48752372" w14:textId="77777777" w:rsidTr="00E04801">
        <w:tc>
          <w:tcPr>
            <w:tcW w:w="3209" w:type="dxa"/>
          </w:tcPr>
          <w:p w14:paraId="2C273824" w14:textId="11D281DF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Tomás Zavoral</w:t>
            </w:r>
            <w:r w:rsidR="00014683" w:rsidRPr="00014683">
              <w:rPr>
                <w:sz w:val="18"/>
                <w:szCs w:val="18"/>
              </w:rPr>
              <w:br/>
            </w:r>
            <w:hyperlink r:id="rId16" w:history="1">
              <w:r w:rsidRPr="00014683">
                <w:rPr>
                  <w:rStyle w:val="Hypertextovodkaz"/>
                  <w:sz w:val="18"/>
                  <w:szCs w:val="18"/>
                </w:rPr>
                <w:t>tomas_zavoral@kb.cz</w:t>
              </w:r>
            </w:hyperlink>
          </w:p>
          <w:p w14:paraId="27707430" w14:textId="7B6C8E7D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731 493 296</w:t>
            </w:r>
          </w:p>
        </w:tc>
        <w:tc>
          <w:tcPr>
            <w:tcW w:w="3209" w:type="dxa"/>
          </w:tcPr>
          <w:p w14:paraId="5BEF4A34" w14:textId="77777777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Šárka Nevoralová</w:t>
            </w:r>
          </w:p>
          <w:p w14:paraId="3E4BDC4A" w14:textId="112EAFF6" w:rsidR="008E5786" w:rsidRPr="00014683" w:rsidRDefault="00000000" w:rsidP="00014683">
            <w:pPr>
              <w:rPr>
                <w:sz w:val="18"/>
                <w:szCs w:val="18"/>
              </w:rPr>
            </w:pPr>
            <w:hyperlink r:id="rId17" w:history="1">
              <w:r w:rsidR="008E5786" w:rsidRPr="00014683">
                <w:rPr>
                  <w:rStyle w:val="Hypertextovodkaz"/>
                  <w:sz w:val="18"/>
                  <w:szCs w:val="18"/>
                </w:rPr>
                <w:t>sarka_nevoralova@kb.cz</w:t>
              </w:r>
            </w:hyperlink>
          </w:p>
          <w:p w14:paraId="202627DC" w14:textId="1EC7276E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734 236 325</w:t>
            </w:r>
          </w:p>
        </w:tc>
        <w:tc>
          <w:tcPr>
            <w:tcW w:w="3210" w:type="dxa"/>
          </w:tcPr>
          <w:p w14:paraId="3F20B20C" w14:textId="77777777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Michal Teubner</w:t>
            </w:r>
          </w:p>
          <w:p w14:paraId="65509A05" w14:textId="6A82A76A" w:rsidR="008E5786" w:rsidRPr="00014683" w:rsidRDefault="00000000" w:rsidP="00014683">
            <w:pPr>
              <w:rPr>
                <w:sz w:val="18"/>
                <w:szCs w:val="18"/>
              </w:rPr>
            </w:pPr>
            <w:hyperlink r:id="rId18" w:history="1">
              <w:r w:rsidR="008E5786" w:rsidRPr="00014683">
                <w:rPr>
                  <w:rStyle w:val="Hypertextovodkaz"/>
                  <w:sz w:val="18"/>
                  <w:szCs w:val="18"/>
                </w:rPr>
                <w:t>michal_teubner@kb.cz</w:t>
              </w:r>
            </w:hyperlink>
          </w:p>
          <w:p w14:paraId="72D3F544" w14:textId="3801E7F2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606 653 219</w:t>
            </w:r>
          </w:p>
        </w:tc>
      </w:tr>
    </w:tbl>
    <w:p w14:paraId="1A1397D5" w14:textId="5C01F83F" w:rsidR="008E5786" w:rsidRPr="00351FF5" w:rsidRDefault="008E5786" w:rsidP="00351FF5">
      <w:pPr>
        <w:rPr>
          <w:szCs w:val="22"/>
        </w:rPr>
      </w:pPr>
    </w:p>
    <w:sectPr w:rsidR="008E5786" w:rsidRPr="00351FF5" w:rsidSect="008E5786">
      <w:footerReference w:type="default" r:id="rId1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2798E" w14:textId="77777777" w:rsidR="00502BF5" w:rsidRDefault="00502BF5" w:rsidP="00014683">
      <w:pPr>
        <w:spacing w:line="240" w:lineRule="auto"/>
      </w:pPr>
      <w:r>
        <w:separator/>
      </w:r>
    </w:p>
  </w:endnote>
  <w:endnote w:type="continuationSeparator" w:id="0">
    <w:p w14:paraId="7FB0C5EA" w14:textId="77777777" w:rsidR="00502BF5" w:rsidRDefault="00502BF5" w:rsidP="00014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">
    <w:altName w:val="Calibri"/>
    <w:charset w:val="00"/>
    <w:family w:val="auto"/>
    <w:pitch w:val="variable"/>
    <w:sig w:usb0="E0000AFF" w:usb1="5200A1FF" w:usb2="00000021" w:usb3="00000000" w:csb0="0000019F" w:csb1="00000000"/>
  </w:font>
  <w:font w:name="Inter Semi Bold">
    <w:altName w:val="Calibri"/>
    <w:charset w:val="00"/>
    <w:family w:val="auto"/>
    <w:pitch w:val="variable"/>
    <w:sig w:usb0="E0000AFF" w:usb1="5200A1FF" w:usb2="00000021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00" w:firstRow="0" w:lastRow="0" w:firstColumn="0" w:lastColumn="0" w:noHBand="0" w:noVBand="1"/>
    </w:tblPr>
    <w:tblGrid>
      <w:gridCol w:w="1985"/>
      <w:gridCol w:w="4212"/>
      <w:gridCol w:w="3441"/>
    </w:tblGrid>
    <w:tr w:rsidR="00166D04" w14:paraId="692BE95A" w14:textId="77777777" w:rsidTr="00166D04">
      <w:tc>
        <w:tcPr>
          <w:tcW w:w="1985" w:type="dxa"/>
        </w:tcPr>
        <w:p w14:paraId="532B366B" w14:textId="77777777" w:rsidR="00166D04" w:rsidRDefault="00166D04" w:rsidP="00166D04">
          <w:pPr>
            <w:pStyle w:val="Zpat"/>
            <w:rPr>
              <w:sz w:val="13"/>
              <w:szCs w:val="13"/>
            </w:rPr>
          </w:pPr>
          <w:r>
            <w:rPr>
              <w:noProof/>
            </w:rPr>
            <w:drawing>
              <wp:inline distT="0" distB="0" distL="0" distR="0" wp14:anchorId="120D4397" wp14:editId="2D248110">
                <wp:extent cx="317500" cy="228600"/>
                <wp:effectExtent l="0" t="0" r="0" b="0"/>
                <wp:docPr id="3" name="Picture 3" descr="Diagram, venn diagram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Diagram, venn diagram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750F779" w14:textId="2A1E2A6C" w:rsidR="00166D04" w:rsidRPr="00014683" w:rsidRDefault="00166D04" w:rsidP="00166D04">
          <w:pPr>
            <w:pStyle w:val="Zpat"/>
            <w:rPr>
              <w:sz w:val="13"/>
              <w:szCs w:val="13"/>
            </w:rPr>
          </w:pPr>
        </w:p>
      </w:tc>
      <w:tc>
        <w:tcPr>
          <w:tcW w:w="4212" w:type="dxa"/>
        </w:tcPr>
        <w:p w14:paraId="1499C36B" w14:textId="77777777" w:rsidR="00166D04" w:rsidRDefault="00166D04" w:rsidP="00166D04">
          <w:pPr>
            <w:pStyle w:val="Zpat"/>
            <w:jc w:val="right"/>
            <w:rPr>
              <w:noProof/>
            </w:rPr>
          </w:pPr>
        </w:p>
      </w:tc>
      <w:tc>
        <w:tcPr>
          <w:tcW w:w="3441" w:type="dxa"/>
          <w:vMerge w:val="restart"/>
        </w:tcPr>
        <w:p w14:paraId="18329FDF" w14:textId="655F5055" w:rsidR="00166D04" w:rsidRDefault="00166D04" w:rsidP="00166D04">
          <w:pPr>
            <w:pStyle w:val="Zpat"/>
            <w:jc w:val="right"/>
          </w:pPr>
          <w:r>
            <w:rPr>
              <w:noProof/>
            </w:rPr>
            <w:drawing>
              <wp:inline distT="0" distB="0" distL="0" distR="0" wp14:anchorId="34FE9148" wp14:editId="31B9EEDE">
                <wp:extent cx="520700" cy="520700"/>
                <wp:effectExtent l="0" t="0" r="0" b="0"/>
                <wp:docPr id="8" name="Picture 8" descr="Dia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Diagram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700" cy="52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6E67EC6C" wp14:editId="42D17B0A">
                <wp:extent cx="762000" cy="520700"/>
                <wp:effectExtent l="0" t="0" r="0" b="0"/>
                <wp:docPr id="9" name="Picture 9" descr="A picture containing graphical user inter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A picture containing graphical user interface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52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66D04" w14:paraId="4F15AEDC" w14:textId="77777777" w:rsidTr="00166D04">
      <w:tc>
        <w:tcPr>
          <w:tcW w:w="1985" w:type="dxa"/>
          <w:vAlign w:val="center"/>
        </w:tcPr>
        <w:p w14:paraId="10DF0474" w14:textId="37EA83BF" w:rsidR="00166D04" w:rsidRPr="00E04801" w:rsidRDefault="00000000" w:rsidP="00166D04">
          <w:pPr>
            <w:pStyle w:val="Zpat"/>
            <w:rPr>
              <w:rFonts w:cs="Times New Roman (Body CS)"/>
              <w:noProof/>
              <w:color w:val="808080" w:themeColor="background1" w:themeShade="80"/>
            </w:rPr>
          </w:pPr>
          <w:hyperlink r:id="rId4" w:history="1">
            <w:r w:rsidR="00166D04" w:rsidRPr="00E04801">
              <w:rPr>
                <w:rStyle w:val="Hypertextovodkaz"/>
                <w:rFonts w:cs="Times New Roman (Body CS)"/>
                <w:color w:val="808080" w:themeColor="background1" w:themeShade="80"/>
                <w:sz w:val="13"/>
                <w:szCs w:val="13"/>
                <w:u w:val="none"/>
                <w14:textFill>
                  <w14:solidFill>
                    <w14:schemeClr w14:val="bg1">
                      <w14:alpha w14:val="60000"/>
                      <w14:lumMod w14:val="50000"/>
                    </w14:schemeClr>
                  </w14:solidFill>
                </w14:textFill>
              </w:rPr>
              <w:t>kb.cz/cs/o-bance/pro-media</w:t>
            </w:r>
          </w:hyperlink>
          <w:r w:rsidR="00166D04" w:rsidRPr="00E04801">
            <w:rPr>
              <w:rFonts w:cs="Times New Roman (Body CS)"/>
              <w:color w:val="808080" w:themeColor="background1" w:themeShade="80"/>
              <w:sz w:val="13"/>
              <w:szCs w:val="13"/>
              <w14:textFill>
                <w14:solidFill>
                  <w14:schemeClr w14:val="bg1">
                    <w14:alpha w14:val="60000"/>
                    <w14:lumMod w14:val="50000"/>
                  </w14:schemeClr>
                </w14:solidFill>
              </w14:textFill>
            </w:rPr>
            <w:t xml:space="preserve">  </w:t>
          </w:r>
        </w:p>
      </w:tc>
      <w:tc>
        <w:tcPr>
          <w:tcW w:w="4212" w:type="dxa"/>
          <w:vAlign w:val="center"/>
        </w:tcPr>
        <w:p w14:paraId="692EB777" w14:textId="0CA7B6C2" w:rsidR="00166D04" w:rsidRDefault="00E04801" w:rsidP="00166D04">
          <w:pPr>
            <w:pStyle w:val="Zpa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3CC12DA" wp14:editId="6B9E7B3E">
                <wp:extent cx="215265" cy="215265"/>
                <wp:effectExtent l="0" t="0" r="635" b="0"/>
                <wp:docPr id="14" name="Picture 14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Icon&#10;&#10;Description automatically generated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48" cy="229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0A7D2D03" wp14:editId="382063B9">
                <wp:extent cx="215900" cy="215900"/>
                <wp:effectExtent l="0" t="0" r="0" b="0"/>
                <wp:docPr id="15" name="Picture 15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 descr="Logo&#10;&#10;Description automatically generated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015" cy="239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507EDE7C" wp14:editId="18003938">
                <wp:extent cx="215900" cy="215900"/>
                <wp:effectExtent l="0" t="0" r="0" b="0"/>
                <wp:docPr id="16" name="Picture 16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Icon&#10;&#10;Description automatically generated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774" cy="227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4EC79CFB" wp14:editId="46D4E8B9">
                <wp:extent cx="215265" cy="215265"/>
                <wp:effectExtent l="0" t="0" r="0" b="635"/>
                <wp:docPr id="17" name="Picture 17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17" descr="Icon&#10;&#10;Description automatically generated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33" cy="2292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1" w:type="dxa"/>
          <w:vMerge/>
        </w:tcPr>
        <w:p w14:paraId="56BA95E7" w14:textId="69EAA0FB" w:rsidR="00166D04" w:rsidRDefault="00166D04" w:rsidP="00166D04">
          <w:pPr>
            <w:pStyle w:val="Zpat"/>
            <w:rPr>
              <w:noProof/>
            </w:rPr>
          </w:pPr>
        </w:p>
      </w:tc>
    </w:tr>
  </w:tbl>
  <w:p w14:paraId="7C63B186" w14:textId="77777777" w:rsidR="00014683" w:rsidRDefault="000146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B0FE" w14:textId="77777777" w:rsidR="00502BF5" w:rsidRDefault="00502BF5" w:rsidP="00014683">
      <w:pPr>
        <w:spacing w:line="240" w:lineRule="auto"/>
      </w:pPr>
      <w:r>
        <w:separator/>
      </w:r>
    </w:p>
  </w:footnote>
  <w:footnote w:type="continuationSeparator" w:id="0">
    <w:p w14:paraId="0AF62986" w14:textId="77777777" w:rsidR="00502BF5" w:rsidRDefault="00502BF5" w:rsidP="000146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147CF"/>
    <w:multiLevelType w:val="hybridMultilevel"/>
    <w:tmpl w:val="16F03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D7BB4"/>
    <w:multiLevelType w:val="hybridMultilevel"/>
    <w:tmpl w:val="9BE0740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C28ED"/>
    <w:multiLevelType w:val="hybridMultilevel"/>
    <w:tmpl w:val="A5C64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517673">
    <w:abstractNumId w:val="1"/>
  </w:num>
  <w:num w:numId="2" w16cid:durableId="832187129">
    <w:abstractNumId w:val="0"/>
  </w:num>
  <w:num w:numId="3" w16cid:durableId="1024594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24"/>
    <w:rsid w:val="0001295E"/>
    <w:rsid w:val="00014683"/>
    <w:rsid w:val="000E6239"/>
    <w:rsid w:val="00166D04"/>
    <w:rsid w:val="001B5CBF"/>
    <w:rsid w:val="00351FF5"/>
    <w:rsid w:val="00502BF5"/>
    <w:rsid w:val="00544872"/>
    <w:rsid w:val="00557C4C"/>
    <w:rsid w:val="005E176C"/>
    <w:rsid w:val="00652624"/>
    <w:rsid w:val="00684D56"/>
    <w:rsid w:val="006A3CAF"/>
    <w:rsid w:val="008E2FD9"/>
    <w:rsid w:val="008E49F7"/>
    <w:rsid w:val="008E5786"/>
    <w:rsid w:val="00916B99"/>
    <w:rsid w:val="00945BEC"/>
    <w:rsid w:val="00B0339B"/>
    <w:rsid w:val="00CC13E7"/>
    <w:rsid w:val="00D040B2"/>
    <w:rsid w:val="00DB4B06"/>
    <w:rsid w:val="00E04801"/>
    <w:rsid w:val="00E51958"/>
    <w:rsid w:val="00E66168"/>
    <w:rsid w:val="00ED5E0E"/>
    <w:rsid w:val="00F4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A26AC"/>
  <w15:chartTrackingRefBased/>
  <w15:docId w15:val="{ADBC9A53-3B3C-5F42-9D53-4A03AAB2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683"/>
    <w:pPr>
      <w:spacing w:line="288" w:lineRule="auto"/>
    </w:pPr>
    <w:rPr>
      <w:rFonts w:ascii="Inter" w:hAnsi="Inter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14683"/>
    <w:pPr>
      <w:keepNext/>
      <w:keepLines/>
      <w:spacing w:before="240" w:line="240" w:lineRule="auto"/>
      <w:outlineLvl w:val="0"/>
    </w:pPr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5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E5786"/>
    <w:rPr>
      <w:color w:val="E9041E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578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14683"/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paragraph" w:styleId="Zhlav">
    <w:name w:val="header"/>
    <w:basedOn w:val="Normln"/>
    <w:link w:val="Zhlav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4683"/>
    <w:rPr>
      <w:rFonts w:ascii="Inter" w:hAnsi="Inter"/>
      <w:sz w:val="22"/>
    </w:rPr>
  </w:style>
  <w:style w:type="paragraph" w:styleId="Zpat">
    <w:name w:val="footer"/>
    <w:basedOn w:val="Normln"/>
    <w:link w:val="Zpat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4683"/>
    <w:rPr>
      <w:rFonts w:ascii="Inter" w:hAnsi="Inter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166D04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E62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62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239"/>
    <w:rPr>
      <w:rFonts w:ascii="Inter" w:hAnsi="Inter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2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239"/>
    <w:rPr>
      <w:rFonts w:ascii="Inter" w:hAnsi="Inter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E6239"/>
    <w:rPr>
      <w:rFonts w:ascii="Inter" w:hAnsi="Inter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mailto:michal_teubner@kb.c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sarka_nevoralova@kb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omas_zavoral@kb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kb.cz/cs/o-bance/vse-o-kb/podnikame-udrzitelne/report-o-udrzitelnosti-archiv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kb.cz/cs/o-bance/vse-o-kb/podnikame-udrzitelne/report-o-udrzitelnosti-archiv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9.png"/><Relationship Id="rId7" Type="http://schemas.openxmlformats.org/officeDocument/2006/relationships/image" Target="media/image12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1.png"/><Relationship Id="rId5" Type="http://schemas.openxmlformats.org/officeDocument/2006/relationships/image" Target="media/image10.png"/><Relationship Id="rId4" Type="http://schemas.openxmlformats.org/officeDocument/2006/relationships/hyperlink" Target="https://kb.cz/cs/o-bance/pro-me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791773-4104-9E41-A50E-A92B3FDB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6003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Pitter</dc:creator>
  <cp:keywords/>
  <dc:description/>
  <cp:lastModifiedBy>Petra Kopecká</cp:lastModifiedBy>
  <cp:revision>2</cp:revision>
  <dcterms:created xsi:type="dcterms:W3CDTF">2023-04-18T10:00:00Z</dcterms:created>
  <dcterms:modified xsi:type="dcterms:W3CDTF">2023-04-18T10:00:00Z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2023-04-18T07:50:09Z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c0fe2600-a59f-487a-8b83-c2efd1728d9d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